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091FF00B" w:rsidR="00A70556" w:rsidRDefault="00D21641" w:rsidP="0034573D">
            <w:pPr>
              <w:spacing w:after="0" w:line="276" w:lineRule="auto"/>
            </w:pPr>
            <w:r>
              <w:t>C</w:t>
            </w:r>
            <w:r w:rsidRPr="00D21641">
              <w:t>onstrucción y rehabilitación de la red carretera estatal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D21641" w14:paraId="59917E45" w14:textId="77777777" w:rsidTr="00105B2A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50B52C19" w14:textId="77777777" w:rsidR="00D21641" w:rsidRPr="004B0FA0" w:rsidRDefault="00D21641" w:rsidP="00105B2A">
            <w:pPr>
              <w:spacing w:after="0" w:line="276" w:lineRule="auto"/>
              <w:jc w:val="center"/>
              <w:rPr>
                <w:b/>
                <w:bCs/>
              </w:rPr>
            </w:pPr>
            <w:r w:rsidRPr="001B1D58">
              <w:rPr>
                <w:bCs/>
              </w:rPr>
              <w:t>22/03/2023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51698EA0" w14:textId="77777777" w:rsidR="00D21641" w:rsidRPr="00A70556" w:rsidRDefault="00D21641" w:rsidP="00105B2A">
            <w:pPr>
              <w:spacing w:after="0" w:line="276" w:lineRule="auto"/>
              <w:jc w:val="center"/>
              <w:rPr>
                <w:b/>
                <w:bCs/>
              </w:rPr>
            </w:pPr>
            <w:r w:rsidRPr="001B1D58">
              <w:rPr>
                <w:bCs/>
              </w:rPr>
              <w:t>31/07/2023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D21641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7902F43B" w:rsidR="009F4211" w:rsidRPr="00D21641" w:rsidRDefault="00D21641" w:rsidP="009F4211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D21641">
              <w:rPr>
                <w:bCs/>
              </w:rPr>
              <w:t>Arq. Dulce Mayely Casanova Cervantes, Directora de Evaluación y Seguimiento de Obras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29015216" w:rsidR="00B920F2" w:rsidRDefault="00D21641" w:rsidP="00521401">
      <w:pPr>
        <w:pStyle w:val="Prrafodelista"/>
        <w:spacing w:after="0" w:line="276" w:lineRule="auto"/>
        <w:ind w:left="142"/>
        <w:jc w:val="both"/>
      </w:pPr>
      <w:r w:rsidRPr="00D21641">
        <w:t xml:space="preserve">Contar con una valoración del desempeño de K074 Construcción y Rehabilitación de la Red Carretera Estatal en su ejercicio fiscal 2022, con base en la información entregada por las unidades responsables de los programas de las dependencias o entidades, a través de la Evaluación </w:t>
      </w:r>
      <w:r w:rsidR="00387857">
        <w:t xml:space="preserve">Específica </w:t>
      </w:r>
      <w:r w:rsidRPr="00D21641">
        <w:t>de Desempeño (E</w:t>
      </w:r>
      <w:r w:rsidR="00387857">
        <w:t>E</w:t>
      </w:r>
      <w:r w:rsidRPr="00D21641">
        <w:t>D), para contribuir a la toma de decisiones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6318318B" w14:textId="77777777" w:rsidR="00D21641" w:rsidRDefault="00D21641" w:rsidP="00D2164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a evaluar, mediante el análisis de los indicadores de resultados y de los indicadores de servicios y gestión.</w:t>
      </w:r>
    </w:p>
    <w:p w14:paraId="32317E43" w14:textId="77777777" w:rsidR="00D21641" w:rsidRDefault="00D21641" w:rsidP="00D2164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Resultados, respecto de años anteriores y el avance en relación con las metas establecidas para el ejercicio fiscal a evaluar.</w:t>
      </w:r>
    </w:p>
    <w:p w14:paraId="2FC595E0" w14:textId="77777777" w:rsidR="00D21641" w:rsidRDefault="00D21641" w:rsidP="00D2164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 los programas.</w:t>
      </w:r>
    </w:p>
    <w:p w14:paraId="4A137B6E" w14:textId="77777777" w:rsidR="00D21641" w:rsidRDefault="00D21641" w:rsidP="00D2164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 los programas.</w:t>
      </w:r>
    </w:p>
    <w:p w14:paraId="6873089F" w14:textId="77777777" w:rsidR="00D21641" w:rsidRDefault="00D21641" w:rsidP="00D2164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 los programas.</w:t>
      </w:r>
    </w:p>
    <w:p w14:paraId="2CCD5C65" w14:textId="2FF11EA4" w:rsidR="009B7088" w:rsidRDefault="00D21641" w:rsidP="00D2164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59007151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D21641">
        <w:t>Específica de 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5B22000D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D21641">
              <w:t>Específica de 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5C1BE627" w:rsidR="00113BCD" w:rsidRDefault="00D21641" w:rsidP="00113BCD">
      <w:pPr>
        <w:ind w:left="708"/>
        <w:jc w:val="both"/>
      </w:pPr>
      <w:r w:rsidRPr="00D21641">
        <w:t>El programa K074 denominado “Construcción Y Rehabilitación de la Red Carretera Estatal” tiene como objetivo general el contribuir a la ampliación y mejoramiento de la Red Carretera Estatal mediante conservación de los caminos. Sus objetivos específicos son el desarrollo económico, el transporte por carretera, la seguridad pública y el desarrollo sustentable</w:t>
      </w:r>
      <w:r>
        <w:t>.</w:t>
      </w:r>
    </w:p>
    <w:p w14:paraId="2ADDF217" w14:textId="77777777" w:rsidR="00DF6706" w:rsidRPr="00F07DF3" w:rsidRDefault="00DF6706" w:rsidP="00DF6706">
      <w:pPr>
        <w:ind w:left="708"/>
      </w:pPr>
      <w:r w:rsidRPr="00F07DF3">
        <w:t xml:space="preserve">En el </w:t>
      </w:r>
      <w:r>
        <w:t>ejercicio fiscal 2022, las ciudades y p</w:t>
      </w:r>
      <w:r w:rsidRPr="00F3103F">
        <w:t xml:space="preserve">oblaciones </w:t>
      </w:r>
      <w:r>
        <w:t>del e</w:t>
      </w:r>
      <w:r w:rsidRPr="00F07DF3">
        <w:t xml:space="preserve">stado de Sinaloa </w:t>
      </w:r>
      <w:r>
        <w:t>se beneficiaron</w:t>
      </w:r>
      <w:r w:rsidRPr="00F07DF3">
        <w:t xml:space="preserve"> </w:t>
      </w:r>
      <w:r>
        <w:t>a</w:t>
      </w:r>
      <w:r w:rsidRPr="00F07DF3">
        <w:t>l 100%</w:t>
      </w:r>
      <w:r>
        <w:t>, lo anterior,</w:t>
      </w:r>
      <w:r w:rsidRPr="00F07DF3">
        <w:t xml:space="preserve"> a través de los proyectos de construcción</w:t>
      </w:r>
      <w:r>
        <w:t xml:space="preserve"> y reconstrucción de carreteras, </w:t>
      </w:r>
      <w:r w:rsidRPr="00F07DF3">
        <w:t>debido a que el 97.78% de la red carretera estatal se encuentra en buen estado.</w:t>
      </w:r>
    </w:p>
    <w:p w14:paraId="35594F38" w14:textId="13E82EC9" w:rsidR="00D21641" w:rsidRPr="002F6A18" w:rsidRDefault="00DF6706" w:rsidP="00DF6706">
      <w:pPr>
        <w:ind w:left="708"/>
        <w:jc w:val="both"/>
      </w:pPr>
      <w:r>
        <w:t>De acuerdo con e</w:t>
      </w:r>
      <w:r w:rsidRPr="00F07DF3">
        <w:t>l porcentaje</w:t>
      </w:r>
      <w:r>
        <w:t xml:space="preserve"> que se logró</w:t>
      </w:r>
      <w:r w:rsidRPr="00F07DF3">
        <w:t xml:space="preserve"> </w:t>
      </w:r>
      <w:r>
        <w:t>a</w:t>
      </w:r>
      <w:r w:rsidRPr="00F07DF3">
        <w:t>mplia</w:t>
      </w:r>
      <w:r>
        <w:t xml:space="preserve">r </w:t>
      </w:r>
      <w:r w:rsidRPr="00F07DF3">
        <w:t xml:space="preserve">la red carretera estatal para el </w:t>
      </w:r>
      <w:r>
        <w:t>ejercicio 2022, fue de</w:t>
      </w:r>
      <w:r w:rsidRPr="00F07DF3">
        <w:t xml:space="preserve"> 61.54%</w:t>
      </w:r>
      <w:r>
        <w:t xml:space="preserve"> en contraste con </w:t>
      </w:r>
      <w:r w:rsidRPr="00F07DF3">
        <w:t>su meta anual del 1.56%</w:t>
      </w:r>
      <w:r>
        <w:t>,</w:t>
      </w:r>
      <w:r w:rsidRPr="00F07DF3">
        <w:t xml:space="preserve"> por lo que</w:t>
      </w:r>
      <w:r>
        <w:t xml:space="preserve"> se puede observar que dicha meta anual fue superada. En comparación del ejercicio fiscal</w:t>
      </w:r>
      <w:r w:rsidRPr="00F07DF3">
        <w:t xml:space="preserve"> 2021</w:t>
      </w:r>
      <w:r>
        <w:t>,</w:t>
      </w:r>
      <w:r w:rsidRPr="00F07DF3">
        <w:t xml:space="preserve"> se logró un porcentaje</w:t>
      </w:r>
      <w:r>
        <w:t xml:space="preserve"> de avance</w:t>
      </w:r>
      <w:r w:rsidRPr="00F07DF3">
        <w:t xml:space="preserve"> de</w:t>
      </w:r>
      <w:r>
        <w:t>l</w:t>
      </w:r>
      <w:r w:rsidRPr="00F07DF3">
        <w:t xml:space="preserve"> 0.58% </w:t>
      </w:r>
      <w:r>
        <w:t>en la</w:t>
      </w:r>
      <w:r w:rsidRPr="00F07DF3">
        <w:t xml:space="preserve"> ampliac</w:t>
      </w:r>
      <w:r>
        <w:t>ión de la red carretera estatal, de acuerdo con la</w:t>
      </w:r>
      <w:r w:rsidRPr="00F07DF3">
        <w:t xml:space="preserve"> meta anual </w:t>
      </w:r>
      <w:r>
        <w:t>del</w:t>
      </w:r>
      <w:r w:rsidRPr="00F07DF3">
        <w:t xml:space="preserve"> 1.97%</w:t>
      </w:r>
      <w:r>
        <w:t>,</w:t>
      </w:r>
      <w:r w:rsidRPr="00F07DF3">
        <w:t xml:space="preserve"> por lo que </w:t>
      </w:r>
      <w:r>
        <w:t xml:space="preserve">se puede observar que </w:t>
      </w:r>
      <w:r w:rsidRPr="00F07DF3">
        <w:t xml:space="preserve">no se logró </w:t>
      </w:r>
      <w:r>
        <w:t xml:space="preserve">la meta </w:t>
      </w:r>
      <w:r w:rsidRPr="00F07DF3">
        <w:t>anual esperad</w:t>
      </w:r>
      <w:r>
        <w:t>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296E8A48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Mejora la comunicación entre localidades.</w:t>
      </w:r>
    </w:p>
    <w:p w14:paraId="10BBC241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Mejora la seguridad vial.</w:t>
      </w:r>
    </w:p>
    <w:p w14:paraId="0E17DFC7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Aumenta el turismo.</w:t>
      </w:r>
    </w:p>
    <w:p w14:paraId="44F0968E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Mejora de la viabilidad.</w:t>
      </w:r>
    </w:p>
    <w:p w14:paraId="5CCCA771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Fortalece la integración productiva regional.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6C6F2719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Aumenta la infraestructura vial estatal.</w:t>
      </w:r>
    </w:p>
    <w:p w14:paraId="7F3BE855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Mejora los tiempos de traslado.</w:t>
      </w:r>
    </w:p>
    <w:p w14:paraId="384D07A1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Fortalece el desarrollo económico.</w:t>
      </w:r>
    </w:p>
    <w:p w14:paraId="7E2A83FA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Articula la red carretera a otros modos de transporte.</w:t>
      </w:r>
    </w:p>
    <w:p w14:paraId="4015FB84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Reduce la congestión vial.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70B425BE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Mal estado de carreteras.</w:t>
      </w:r>
    </w:p>
    <w:p w14:paraId="4A18ED86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Accidentes de tránsito.</w:t>
      </w:r>
    </w:p>
    <w:p w14:paraId="395CFF21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Limita el desarrollo económico.</w:t>
      </w:r>
    </w:p>
    <w:p w14:paraId="3FB45979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Localidades aisladas.</w:t>
      </w:r>
    </w:p>
    <w:p w14:paraId="04D9518D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Paso de arroyos naturales sobre carreteras.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0B11F3BA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Dificulta el libre tránsito entre localidades.</w:t>
      </w:r>
    </w:p>
    <w:p w14:paraId="4ABFEDC0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Orografía de terrenos accidentados.</w:t>
      </w:r>
    </w:p>
    <w:p w14:paraId="4010CE05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Disminuye el flujo turístico.</w:t>
      </w:r>
    </w:p>
    <w:p w14:paraId="5FBC658A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Condiciones meteorológicas.</w:t>
      </w:r>
    </w:p>
    <w:p w14:paraId="59904329" w14:textId="77777777" w:rsidR="00DF6706" w:rsidRDefault="00DF6706" w:rsidP="00DF6706">
      <w:pPr>
        <w:pStyle w:val="Prrafodelista"/>
        <w:numPr>
          <w:ilvl w:val="0"/>
          <w:numId w:val="8"/>
        </w:numPr>
        <w:spacing w:line="276" w:lineRule="auto"/>
      </w:pPr>
      <w:r>
        <w:t>Inseguridad y vandalismo.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1F36EB1" w14:textId="0C68C523" w:rsidR="00113BCD" w:rsidRDefault="00DF6706" w:rsidP="00A4624B">
      <w:pPr>
        <w:spacing w:after="0" w:line="276" w:lineRule="auto"/>
        <w:ind w:left="284"/>
        <w:jc w:val="both"/>
        <w:rPr>
          <w:lang w:val="es-ES"/>
        </w:rPr>
      </w:pPr>
      <w:r>
        <w:t xml:space="preserve">Para el ejercicio fiscal 2022, se puede </w:t>
      </w:r>
      <w:r w:rsidRPr="00F07DF3">
        <w:t>observar la evolución ascendente del programa en sentido po</w:t>
      </w:r>
      <w:r>
        <w:t>sitivo debido a que desde</w:t>
      </w:r>
      <w:r w:rsidRPr="00F07DF3">
        <w:t xml:space="preserve"> </w:t>
      </w:r>
      <w:r>
        <w:t>el inicio</w:t>
      </w:r>
      <w:r w:rsidRPr="00F07DF3">
        <w:t xml:space="preserve"> </w:t>
      </w:r>
      <w:r>
        <w:t>d</w:t>
      </w:r>
      <w:r w:rsidRPr="00F07DF3">
        <w:t xml:space="preserve">el programa de </w:t>
      </w:r>
      <w:r>
        <w:t>“</w:t>
      </w:r>
      <w:r w:rsidRPr="00F07DF3">
        <w:t>Construcción y Rehabilitación de la Red Carretera Estatal</w:t>
      </w:r>
      <w:r>
        <w:t>”</w:t>
      </w:r>
      <w:r w:rsidRPr="00F07DF3">
        <w:t xml:space="preserve"> </w:t>
      </w:r>
      <w:r>
        <w:t>se observa un</w:t>
      </w:r>
      <w:r w:rsidRPr="00F07DF3">
        <w:t xml:space="preserve"> crecido en su desempeño hacia su </w:t>
      </w:r>
      <w:r w:rsidRPr="00F07DF3">
        <w:rPr>
          <w:i/>
        </w:rPr>
        <w:t>propósito</w:t>
      </w:r>
      <w:r w:rsidRPr="00F07DF3">
        <w:t xml:space="preserve"> que es los kilómetros de carretera construidos en el estado estén en condiciones transitables todo el año; así como en su </w:t>
      </w:r>
      <w:r w:rsidRPr="00F07DF3">
        <w:rPr>
          <w:i/>
        </w:rPr>
        <w:t>fin</w:t>
      </w:r>
      <w:r w:rsidRPr="00F07DF3">
        <w:t xml:space="preserve"> que es la proporción de ciudades y localidades beneficiadas en Sinaloa a través de los proyectos de Construcción y reconstrucción de carreteras, y que estas a su vez, contribuyan a mejorar el traslado de personas y mercancías, mediante la pavimentación y rehabilitación</w:t>
      </w:r>
      <w:r>
        <w:t xml:space="preserve"> de los caminos en el estado de Sinaloa.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76BDF009" w14:textId="77777777" w:rsidR="00DF6706" w:rsidRDefault="00DF6706" w:rsidP="00DF670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Establecer metas anuales que sean factibles de alcanzar dentro del programa.</w:t>
      </w:r>
    </w:p>
    <w:p w14:paraId="6FAE8F8A" w14:textId="77777777" w:rsidR="00DF6706" w:rsidRDefault="00DF6706" w:rsidP="00DF670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Brindar vías de transporte seguras, dinamizar la economía y mejorar la calidad de vida de las y los sinaloenses</w:t>
      </w:r>
    </w:p>
    <w:p w14:paraId="16C58E28" w14:textId="77777777" w:rsidR="00DF6706" w:rsidRDefault="00DF6706" w:rsidP="00DF670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Incrementar la red de carreteras federales y locales.</w:t>
      </w:r>
    </w:p>
    <w:p w14:paraId="29B4703B" w14:textId="33EB5319" w:rsidR="006E67EA" w:rsidRPr="006E67EA" w:rsidRDefault="00DF6706" w:rsidP="00DF670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Consolidar la red de carreteras a través del mantenimiento de caminos rurales y la rehabilitación de carpetas asfálticas de vialidades urbanas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6F7738" w:rsidP="006E538E">
            <w:pPr>
              <w:spacing w:after="0" w:line="276" w:lineRule="auto"/>
              <w:ind w:left="179"/>
            </w:pPr>
            <w:hyperlink r:id="rId8" w:history="1">
              <w:r w:rsidR="006E538E"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DF670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1696AA65" w:rsidR="00DF6706" w:rsidRPr="00521401" w:rsidRDefault="00DF6706" w:rsidP="00DF6706">
            <w:pPr>
              <w:spacing w:after="0" w:line="276" w:lineRule="auto"/>
              <w:ind w:left="179"/>
            </w:pPr>
            <w:r>
              <w:t>C</w:t>
            </w:r>
            <w:r w:rsidRPr="00D21641">
              <w:t>onstrucción y rehabilitación de la red carretera estatal</w:t>
            </w:r>
          </w:p>
        </w:tc>
      </w:tr>
      <w:tr w:rsidR="00DF670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DF6706" w:rsidRPr="007C4CD6" w:rsidRDefault="00DF6706" w:rsidP="00DF6706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DF670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65C7792A" w:rsidR="00DF6706" w:rsidRPr="007C4CD6" w:rsidRDefault="00DF6706" w:rsidP="00DF6706">
            <w:pPr>
              <w:spacing w:after="0" w:line="276" w:lineRule="auto"/>
              <w:ind w:left="179"/>
            </w:pPr>
            <w:r>
              <w:t>CRRCE</w:t>
            </w:r>
          </w:p>
        </w:tc>
      </w:tr>
      <w:tr w:rsidR="00DF670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DF6706" w:rsidRPr="007C4CD6" w:rsidRDefault="00DF6706" w:rsidP="00DF6706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DF670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0E2DA40D" w:rsidR="00DF6706" w:rsidRPr="007C4CD6" w:rsidRDefault="00DF6706" w:rsidP="00DF6706">
            <w:pPr>
              <w:spacing w:after="0" w:line="276" w:lineRule="auto"/>
              <w:ind w:left="179"/>
            </w:pPr>
            <w:r>
              <w:t>Secretaría de Obras Públicas</w:t>
            </w:r>
          </w:p>
        </w:tc>
      </w:tr>
      <w:tr w:rsidR="00DF670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DF6706" w:rsidRPr="007C4CD6" w:rsidRDefault="00DF6706" w:rsidP="00DF6706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lastRenderedPageBreak/>
              <w:t>Poder Público al que Pertenece(n) el(los) Programa(s):</w:t>
            </w:r>
          </w:p>
        </w:tc>
      </w:tr>
      <w:tr w:rsidR="00DF6706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DF6706" w:rsidRPr="005A28B9" w:rsidRDefault="00DF6706" w:rsidP="00DF6706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DF6706" w:rsidRPr="005A28B9" w:rsidRDefault="00DF6706" w:rsidP="00DF6706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DF6706" w:rsidRPr="005A28B9" w:rsidRDefault="00DF6706" w:rsidP="00DF6706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DF6706" w:rsidRPr="005A28B9" w:rsidRDefault="00DF6706" w:rsidP="00DF6706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DF6706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48C571C7" w:rsidR="00DF6706" w:rsidRPr="00A16BE7" w:rsidRDefault="00DF6706" w:rsidP="00DF6706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DF6706" w:rsidRPr="00A16BE7" w:rsidRDefault="00DF6706" w:rsidP="00DF6706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DF6706" w:rsidRPr="00A16BE7" w:rsidRDefault="00DF6706" w:rsidP="00DF6706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DF6706" w:rsidRPr="00A16BE7" w:rsidRDefault="00DF6706" w:rsidP="00DF6706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D9249E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23D3B7C3" w:rsidR="00090637" w:rsidRPr="00090637" w:rsidRDefault="009A6D67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D9249E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3E09F51D" w:rsidR="005065B9" w:rsidRPr="00521401" w:rsidRDefault="00DF6706" w:rsidP="005065B9">
            <w:pPr>
              <w:spacing w:after="0" w:line="276" w:lineRule="auto"/>
              <w:ind w:left="179"/>
            </w:pPr>
            <w:r w:rsidRPr="00A57EA2">
              <w:t>Raúl Francisco Montero Zamudio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D9249E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656D4B49" w:rsidR="00A4624B" w:rsidRPr="007301C5" w:rsidRDefault="00785444" w:rsidP="00A4624B">
            <w:pPr>
              <w:spacing w:after="0" w:line="276" w:lineRule="auto"/>
              <w:ind w:left="179"/>
            </w:pPr>
            <w:hyperlink r:id="rId9" w:history="1">
              <w:r w:rsidRPr="001903A3">
                <w:rPr>
                  <w:rStyle w:val="Hipervnculo"/>
                </w:rPr>
                <w:t>raul.montero@sinaloa.gob.mx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D9249E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69857092" w:rsidR="004E1FF7" w:rsidRPr="007301C5" w:rsidRDefault="00DF6706" w:rsidP="004E1FF7">
            <w:pPr>
              <w:spacing w:after="0" w:line="276" w:lineRule="auto"/>
              <w:ind w:left="179"/>
            </w:pPr>
            <w:r w:rsidRPr="00947FA7">
              <w:rPr>
                <w:rFonts w:cstheme="minorHAnsi"/>
              </w:rPr>
              <w:t>Subsecretaría de Obras Públicas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785444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0832BCCB" w:rsidR="004E1FF7" w:rsidRPr="007301C5" w:rsidRDefault="009A6D67" w:rsidP="004E1FF7">
            <w:pPr>
              <w:spacing w:after="0" w:line="276" w:lineRule="auto"/>
              <w:ind w:left="179"/>
            </w:pPr>
            <w:r>
              <w:t xml:space="preserve">(667) </w:t>
            </w:r>
            <w:r>
              <w:t xml:space="preserve">758 7000 Ext. </w:t>
            </w:r>
            <w:r>
              <w:t>2401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7777777" w:rsidR="00A06CEF" w:rsidRPr="00866990" w:rsidRDefault="00C61D21" w:rsidP="00A06CEF">
            <w:pPr>
              <w:spacing w:after="0" w:line="276" w:lineRule="auto"/>
            </w:pPr>
            <w:r w:rsidRPr="00866990">
              <w:t>Evaluación Interna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30BDA301" w:rsidR="00090637" w:rsidRPr="00866990" w:rsidRDefault="00DF6706" w:rsidP="00521401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19B0D183" w:rsidR="00090637" w:rsidRPr="00866990" w:rsidRDefault="00DF6706" w:rsidP="00521401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0F8C578C" w:rsidR="004C435E" w:rsidRPr="00866990" w:rsidRDefault="00DF6706" w:rsidP="004C435E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41395" w14:textId="77777777" w:rsidR="006F7738" w:rsidRDefault="006F7738" w:rsidP="008E5209">
      <w:pPr>
        <w:spacing w:after="0" w:line="240" w:lineRule="auto"/>
      </w:pPr>
      <w:r>
        <w:separator/>
      </w:r>
    </w:p>
  </w:endnote>
  <w:endnote w:type="continuationSeparator" w:id="0">
    <w:p w14:paraId="483D6B63" w14:textId="77777777" w:rsidR="006F7738" w:rsidRDefault="006F7738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22649314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387857">
          <w:rPr>
            <w:b/>
            <w:bCs/>
            <w:noProof/>
            <w:sz w:val="18"/>
            <w:szCs w:val="18"/>
          </w:rPr>
          <w:t>3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45F8CC36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387857" w:rsidRPr="00387857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712E2" w14:textId="77777777" w:rsidR="006F7738" w:rsidRDefault="006F7738" w:rsidP="008E5209">
      <w:pPr>
        <w:spacing w:after="0" w:line="240" w:lineRule="auto"/>
      </w:pPr>
      <w:r>
        <w:separator/>
      </w:r>
    </w:p>
  </w:footnote>
  <w:footnote w:type="continuationSeparator" w:id="0">
    <w:p w14:paraId="049CFA32" w14:textId="77777777" w:rsidR="006F7738" w:rsidRDefault="006F7738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DDD3" w14:textId="77777777" w:rsidR="0008479E" w:rsidRPr="00DF6706" w:rsidRDefault="0008479E" w:rsidP="0008479E">
    <w:pPr>
      <w:ind w:left="3828"/>
      <w:jc w:val="right"/>
      <w:rPr>
        <w:rFonts w:ascii="Medium" w:hAnsi="Medium" w:cs="Arial"/>
        <w:b/>
        <w:color w:val="595959" w:themeColor="text1" w:themeTint="A6"/>
        <w:sz w:val="26"/>
        <w:szCs w:val="26"/>
      </w:rPr>
    </w:pPr>
    <w:r w:rsidRPr="00DF6706">
      <w:rPr>
        <w:rFonts w:ascii="Medium" w:hAnsi="Medium" w:cs="Arial"/>
        <w:b/>
        <w:noProof/>
        <w:color w:val="595959" w:themeColor="text1" w:themeTint="A6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706">
      <w:rPr>
        <w:rFonts w:ascii="Medium" w:hAnsi="Medium" w:cs="Arial"/>
        <w:b/>
        <w:color w:val="595959" w:themeColor="text1" w:themeTint="A6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567pt;height:595.5pt" o:bullet="t">
        <v:imagedata r:id="rId1" o:title="03"/>
      </v:shape>
    </w:pict>
  </w:numPicBullet>
  <w:numPicBullet w:numPicBulletId="1">
    <w:pict>
      <v:shape id="_x0000_i1063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23"/>
  </w:num>
  <w:num w:numId="2">
    <w:abstractNumId w:val="21"/>
  </w:num>
  <w:num w:numId="3">
    <w:abstractNumId w:val="7"/>
  </w:num>
  <w:num w:numId="4">
    <w:abstractNumId w:val="19"/>
  </w:num>
  <w:num w:numId="5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>
    <w:abstractNumId w:val="27"/>
  </w:num>
  <w:num w:numId="7">
    <w:abstractNumId w:val="28"/>
  </w:num>
  <w:num w:numId="8">
    <w:abstractNumId w:val="29"/>
  </w:num>
  <w:num w:numId="9">
    <w:abstractNumId w:val="20"/>
  </w:num>
  <w:num w:numId="10">
    <w:abstractNumId w:val="12"/>
  </w:num>
  <w:num w:numId="11">
    <w:abstractNumId w:val="14"/>
  </w:num>
  <w:num w:numId="12">
    <w:abstractNumId w:val="26"/>
  </w:num>
  <w:num w:numId="13">
    <w:abstractNumId w:val="25"/>
  </w:num>
  <w:num w:numId="14">
    <w:abstractNumId w:val="22"/>
  </w:num>
  <w:num w:numId="15">
    <w:abstractNumId w:val="16"/>
  </w:num>
  <w:num w:numId="16">
    <w:abstractNumId w:val="4"/>
  </w:num>
  <w:num w:numId="17">
    <w:abstractNumId w:val="6"/>
  </w:num>
  <w:num w:numId="18">
    <w:abstractNumId w:val="17"/>
  </w:num>
  <w:num w:numId="19">
    <w:abstractNumId w:val="15"/>
  </w:num>
  <w:num w:numId="20">
    <w:abstractNumId w:val="5"/>
  </w:num>
  <w:num w:numId="21">
    <w:abstractNumId w:val="3"/>
  </w:num>
  <w:num w:numId="22">
    <w:abstractNumId w:val="13"/>
  </w:num>
  <w:num w:numId="23">
    <w:abstractNumId w:val="24"/>
  </w:num>
  <w:num w:numId="24">
    <w:abstractNumId w:val="11"/>
  </w:num>
  <w:num w:numId="25">
    <w:abstractNumId w:val="18"/>
  </w:num>
  <w:num w:numId="26">
    <w:abstractNumId w:val="8"/>
  </w:num>
  <w:num w:numId="27">
    <w:abstractNumId w:val="10"/>
  </w:num>
  <w:num w:numId="28">
    <w:abstractNumId w:val="0"/>
  </w:num>
  <w:num w:numId="29">
    <w:abstractNumId w:val="9"/>
  </w:num>
  <w:num w:numId="3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2365B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87857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6F7738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5444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A6D67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1641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49E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DF6706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85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ul.montero@sinalo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7045-9E46-43FF-AA80-4A0E99BE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2375</TotalTime>
  <Pages>4</Pages>
  <Words>1207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DESO</cp:lastModifiedBy>
  <cp:revision>4</cp:revision>
  <cp:lastPrinted>2022-06-17T19:35:00Z</cp:lastPrinted>
  <dcterms:created xsi:type="dcterms:W3CDTF">2023-09-19T23:50:00Z</dcterms:created>
  <dcterms:modified xsi:type="dcterms:W3CDTF">2023-09-21T17:58:00Z</dcterms:modified>
</cp:coreProperties>
</file>